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A75" w:rsidRDefault="003F3A75" w:rsidP="003F3A7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4"/>
          <w:szCs w:val="24"/>
        </w:rPr>
      </w:pPr>
      <w:r>
        <w:rPr>
          <w:rFonts w:ascii="MyriadPro-It" w:hAnsi="MyriadPro-It" w:cs="MyriadPro-It"/>
          <w:i/>
          <w:iCs/>
          <w:color w:val="000000"/>
          <w:sz w:val="24"/>
          <w:szCs w:val="24"/>
        </w:rPr>
        <w:t xml:space="preserve">Lorrie </w:t>
      </w:r>
      <w:proofErr w:type="spellStart"/>
      <w:r>
        <w:rPr>
          <w:rFonts w:ascii="MyriadPro-It" w:hAnsi="MyriadPro-It" w:cs="MyriadPro-It"/>
          <w:i/>
          <w:iCs/>
          <w:color w:val="000000"/>
          <w:sz w:val="24"/>
          <w:szCs w:val="24"/>
        </w:rPr>
        <w:t>Brubacher</w:t>
      </w:r>
      <w:proofErr w:type="spellEnd"/>
    </w:p>
    <w:p w:rsidR="00F56337" w:rsidRDefault="00F56337" w:rsidP="003F3A7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4"/>
          <w:szCs w:val="24"/>
        </w:rPr>
      </w:pPr>
    </w:p>
    <w:p w:rsidR="00F56337" w:rsidRPr="00F56337" w:rsidRDefault="00F56337" w:rsidP="00F5633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2B3990"/>
          <w:sz w:val="23"/>
          <w:szCs w:val="23"/>
        </w:rPr>
      </w:pP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color w:val="2B3990"/>
          <w:sz w:val="23"/>
          <w:szCs w:val="23"/>
        </w:rPr>
        <w:t>Editors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color w:val="2B3990"/>
          <w:sz w:val="23"/>
          <w:szCs w:val="23"/>
        </w:rPr>
        <w:t xml:space="preserve">'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color w:val="2B3990"/>
          <w:sz w:val="23"/>
          <w:szCs w:val="23"/>
        </w:rPr>
        <w:t>Note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color w:val="2B3990"/>
          <w:sz w:val="23"/>
          <w:szCs w:val="23"/>
        </w:rPr>
        <w:t xml:space="preserve">: </w:t>
      </w:r>
      <w:r>
        <w:rPr>
          <w:rFonts w:ascii="TimesNewRomanPS-ItalicMT" w:hAnsi="TimesNewRomanPS-ItalicMT" w:cs="TimesNewRomanPS-ItalicMT"/>
          <w:i/>
          <w:iCs/>
          <w:color w:val="2B3990"/>
          <w:sz w:val="23"/>
          <w:szCs w:val="23"/>
        </w:rPr>
        <w:t xml:space="preserve">The </w:t>
      </w:r>
      <w:proofErr w:type="spellStart"/>
      <w:r>
        <w:rPr>
          <w:rFonts w:ascii="TimesNewRomanPS-ItalicMT" w:hAnsi="TimesNewRomanPS-ItalicMT" w:cs="TimesNewRomanPS-ItalicMT"/>
          <w:i/>
          <w:iCs/>
          <w:color w:val="2B3990"/>
          <w:sz w:val="23"/>
          <w:szCs w:val="23"/>
        </w:rPr>
        <w:t>following</w:t>
      </w:r>
      <w:proofErr w:type="spellEnd"/>
      <w:r>
        <w:rPr>
          <w:rFonts w:ascii="TimesNewRomanPS-ItalicMT" w:hAnsi="TimesNewRomanPS-ItalicMT" w:cs="TimesNewRomanPS-ItalicMT"/>
          <w:i/>
          <w:iCs/>
          <w:color w:val="2B3990"/>
          <w:sz w:val="23"/>
          <w:szCs w:val="23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2B3990"/>
          <w:sz w:val="23"/>
          <w:szCs w:val="23"/>
        </w:rPr>
        <w:t>article</w:t>
      </w:r>
      <w:proofErr w:type="spellEnd"/>
      <w:r>
        <w:rPr>
          <w:rFonts w:ascii="TimesNewRomanPS-ItalicMT" w:hAnsi="TimesNewRomanPS-ItalicMT" w:cs="TimesNewRomanPS-ItalicMT"/>
          <w:i/>
          <w:iCs/>
          <w:color w:val="2B3990"/>
          <w:sz w:val="23"/>
          <w:szCs w:val="23"/>
        </w:rPr>
        <w:t xml:space="preserve"> is the </w:t>
      </w:r>
      <w:proofErr w:type="spellStart"/>
      <w:r>
        <w:rPr>
          <w:rFonts w:ascii="TimesNewRomanPS-ItalicMT" w:hAnsi="TimesNewRomanPS-ItalicMT" w:cs="TimesNewRomanPS-ItalicMT"/>
          <w:i/>
          <w:iCs/>
          <w:color w:val="2B3990"/>
          <w:sz w:val="23"/>
          <w:szCs w:val="23"/>
        </w:rPr>
        <w:t>first</w:t>
      </w:r>
      <w:proofErr w:type="spellEnd"/>
      <w:r>
        <w:rPr>
          <w:rFonts w:ascii="TimesNewRomanPS-ItalicMT" w:hAnsi="TimesNewRomanPS-ItalicMT" w:cs="TimesNewRomanPS-ItalicMT"/>
          <w:i/>
          <w:iCs/>
          <w:color w:val="2B3990"/>
          <w:sz w:val="23"/>
          <w:szCs w:val="23"/>
        </w:rPr>
        <w:t xml:space="preserve"> in a </w:t>
      </w:r>
      <w:proofErr w:type="spellStart"/>
      <w:r>
        <w:rPr>
          <w:rFonts w:ascii="TimesNewRomanPS-ItalicMT" w:hAnsi="TimesNewRomanPS-ItalicMT" w:cs="TimesNewRomanPS-ItalicMT"/>
          <w:i/>
          <w:iCs/>
          <w:color w:val="2B3990"/>
          <w:sz w:val="23"/>
          <w:szCs w:val="23"/>
        </w:rPr>
        <w:t>two-part</w:t>
      </w:r>
      <w:proofErr w:type="spellEnd"/>
      <w:r>
        <w:rPr>
          <w:rFonts w:ascii="TimesNewRomanPS-ItalicMT" w:hAnsi="TimesNewRomanPS-ItalicMT" w:cs="TimesNewRomanPS-ItalicMT"/>
          <w:i/>
          <w:iCs/>
          <w:color w:val="2B3990"/>
          <w:sz w:val="23"/>
          <w:szCs w:val="23"/>
        </w:rPr>
        <w:t xml:space="preserve"> series. A </w:t>
      </w:r>
      <w:proofErr w:type="spellStart"/>
      <w:r>
        <w:rPr>
          <w:rFonts w:ascii="TimesNewRomanPS-ItalicMT" w:hAnsi="TimesNewRomanPS-ItalicMT" w:cs="TimesNewRomanPS-ItalicMT"/>
          <w:i/>
          <w:iCs/>
          <w:color w:val="2B3990"/>
          <w:sz w:val="23"/>
          <w:szCs w:val="23"/>
        </w:rPr>
        <w:t>future</w:t>
      </w:r>
      <w:proofErr w:type="spellEnd"/>
      <w:r>
        <w:rPr>
          <w:rFonts w:ascii="TimesNewRomanPS-ItalicMT" w:hAnsi="TimesNewRomanPS-ItalicMT" w:cs="TimesNewRomanPS-ItalicMT"/>
          <w:i/>
          <w:iCs/>
          <w:color w:val="2B3990"/>
          <w:sz w:val="23"/>
          <w:szCs w:val="23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2B3990"/>
          <w:sz w:val="23"/>
          <w:szCs w:val="23"/>
        </w:rPr>
        <w:t>article</w:t>
      </w:r>
      <w:proofErr w:type="spellEnd"/>
      <w:r>
        <w:rPr>
          <w:rFonts w:ascii="TimesNewRomanPS-ItalicMT" w:hAnsi="TimesNewRomanPS-ItalicMT" w:cs="TimesNewRomanPS-ItalicMT"/>
          <w:i/>
          <w:iCs/>
          <w:color w:val="2B3990"/>
          <w:sz w:val="23"/>
          <w:szCs w:val="23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2B3990"/>
          <w:sz w:val="23"/>
          <w:szCs w:val="23"/>
        </w:rPr>
        <w:t>will</w:t>
      </w:r>
      <w:proofErr w:type="spellEnd"/>
      <w:r>
        <w:rPr>
          <w:rFonts w:ascii="TimesNewRomanPS-ItalicMT" w:hAnsi="TimesNewRomanPS-ItalicMT" w:cs="TimesNewRomanPS-ItalicMT"/>
          <w:i/>
          <w:iCs/>
          <w:color w:val="2B3990"/>
          <w:sz w:val="23"/>
          <w:szCs w:val="23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2B3990"/>
          <w:sz w:val="23"/>
          <w:szCs w:val="23"/>
        </w:rPr>
        <w:t>explore</w:t>
      </w:r>
      <w:proofErr w:type="spellEnd"/>
      <w:r>
        <w:rPr>
          <w:rFonts w:ascii="TimesNewRomanPS-ItalicMT" w:hAnsi="TimesNewRomanPS-ItalicMT" w:cs="TimesNewRomanPS-ItalicMT"/>
          <w:i/>
          <w:iCs/>
          <w:color w:val="2B3990"/>
          <w:sz w:val="23"/>
          <w:szCs w:val="23"/>
        </w:rPr>
        <w:t xml:space="preserve"> more </w:t>
      </w:r>
      <w:proofErr w:type="spellStart"/>
      <w:r>
        <w:rPr>
          <w:rFonts w:ascii="TimesNewRomanPS-ItalicMT" w:hAnsi="TimesNewRomanPS-ItalicMT" w:cs="TimesNewRomanPS-ItalicMT"/>
          <w:i/>
          <w:iCs/>
          <w:color w:val="2B3990"/>
          <w:sz w:val="23"/>
          <w:szCs w:val="23"/>
        </w:rPr>
        <w:t>about</w:t>
      </w:r>
      <w:proofErr w:type="spellEnd"/>
      <w:r>
        <w:rPr>
          <w:rFonts w:ascii="TimesNewRomanPS-ItalicMT" w:hAnsi="TimesNewRomanPS-ItalicMT" w:cs="TimesNewRomanPS-ItalicMT"/>
          <w:i/>
          <w:iCs/>
          <w:color w:val="2B3990"/>
          <w:sz w:val="23"/>
          <w:szCs w:val="23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2B3990"/>
          <w:sz w:val="23"/>
          <w:szCs w:val="23"/>
        </w:rPr>
        <w:t>working</w:t>
      </w:r>
      <w:proofErr w:type="spellEnd"/>
      <w:r>
        <w:rPr>
          <w:rFonts w:ascii="TimesNewRomanPS-ItalicMT" w:hAnsi="TimesNewRomanPS-ItalicMT" w:cs="TimesNewRomanPS-ItalicMT"/>
          <w:i/>
          <w:iCs/>
          <w:color w:val="2B3990"/>
          <w:sz w:val="23"/>
          <w:szCs w:val="23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2B3990"/>
          <w:sz w:val="23"/>
          <w:szCs w:val="23"/>
        </w:rPr>
        <w:t>with</w:t>
      </w:r>
      <w:proofErr w:type="spellEnd"/>
      <w:r>
        <w:rPr>
          <w:rFonts w:ascii="TimesNewRomanPS-ItalicMT" w:hAnsi="TimesNewRomanPS-ItalicMT" w:cs="TimesNewRomanPS-ItalicMT"/>
          <w:i/>
          <w:iCs/>
          <w:color w:val="2B3990"/>
          <w:sz w:val="23"/>
          <w:szCs w:val="23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2B3990"/>
          <w:sz w:val="23"/>
          <w:szCs w:val="23"/>
        </w:rPr>
        <w:t>individuals</w:t>
      </w:r>
      <w:proofErr w:type="spellEnd"/>
      <w:r>
        <w:rPr>
          <w:rFonts w:ascii="TimesNewRomanPS-ItalicMT" w:hAnsi="TimesNewRomanPS-ItalicMT" w:cs="TimesNewRomanPS-ItalicMT"/>
          <w:i/>
          <w:iCs/>
          <w:color w:val="2B3990"/>
          <w:sz w:val="23"/>
          <w:szCs w:val="23"/>
        </w:rPr>
        <w:t xml:space="preserve">' </w:t>
      </w:r>
      <w:proofErr w:type="spellStart"/>
      <w:r>
        <w:rPr>
          <w:rFonts w:ascii="TimesNewRomanPS-ItalicMT" w:hAnsi="TimesNewRomanPS-ItalicMT" w:cs="TimesNewRomanPS-ItalicMT"/>
          <w:i/>
          <w:iCs/>
          <w:color w:val="2B3990"/>
          <w:sz w:val="23"/>
          <w:szCs w:val="23"/>
        </w:rPr>
        <w:t>relationships</w:t>
      </w:r>
      <w:proofErr w:type="spellEnd"/>
      <w:r>
        <w:rPr>
          <w:rFonts w:ascii="TimesNewRomanPS-ItalicMT" w:hAnsi="TimesNewRomanPS-ItalicMT" w:cs="TimesNewRomanPS-ItalicMT"/>
          <w:i/>
          <w:iCs/>
          <w:color w:val="2B3990"/>
          <w:sz w:val="23"/>
          <w:szCs w:val="23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2B3990"/>
          <w:sz w:val="23"/>
          <w:szCs w:val="23"/>
        </w:rPr>
        <w:t>outside</w:t>
      </w:r>
      <w:proofErr w:type="spellEnd"/>
      <w:r>
        <w:rPr>
          <w:rFonts w:ascii="TimesNewRomanPS-ItalicMT" w:hAnsi="TimesNewRomanPS-ItalicMT" w:cs="TimesNewRomanPS-ItalicMT"/>
          <w:i/>
          <w:iCs/>
          <w:color w:val="2B3990"/>
          <w:sz w:val="23"/>
          <w:szCs w:val="23"/>
        </w:rPr>
        <w:t xml:space="preserve"> of </w:t>
      </w:r>
      <w:proofErr w:type="spellStart"/>
      <w:r>
        <w:rPr>
          <w:rFonts w:ascii="TimesNewRomanPS-ItalicMT" w:hAnsi="TimesNewRomanPS-ItalicMT" w:cs="TimesNewRomanPS-ItalicMT"/>
          <w:i/>
          <w:iCs/>
          <w:color w:val="2B3990"/>
          <w:sz w:val="23"/>
          <w:szCs w:val="23"/>
        </w:rPr>
        <w:t>themselves</w:t>
      </w:r>
      <w:proofErr w:type="spellEnd"/>
      <w:r>
        <w:rPr>
          <w:rFonts w:ascii="TimesNewRomanPS-ItalicMT" w:hAnsi="TimesNewRomanPS-ItalicMT" w:cs="TimesNewRomanPS-ItalicMT"/>
          <w:i/>
          <w:iCs/>
          <w:color w:val="2B3990"/>
          <w:sz w:val="23"/>
          <w:szCs w:val="23"/>
        </w:rPr>
        <w:t>.</w:t>
      </w:r>
    </w:p>
    <w:p w:rsidR="003F3A75" w:rsidRDefault="003F3A75" w:rsidP="003F3A7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</w:p>
    <w:p w:rsidR="003F3A75" w:rsidRDefault="003F3A75" w:rsidP="003F3A7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In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this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article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, I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would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like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to show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you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how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Attachment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Theory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can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guide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our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experiential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work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with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individual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clients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. The EFT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therapeutic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stance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and all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interventions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can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still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be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used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for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creating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alliance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,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accessing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and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reprocessing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emotions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and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restructuring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interactions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.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Additionally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,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two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key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elements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are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needed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to transpose the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validated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Emotionally Focused Couples Therapy model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into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an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Individual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EFT model. These are: (a)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identifying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disparate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parts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within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an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individual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and (b)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directing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enactments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between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these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parts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>.</w:t>
      </w:r>
    </w:p>
    <w:p w:rsidR="003F3A75" w:rsidRDefault="003F3A75" w:rsidP="003F3A7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</w:p>
    <w:p w:rsidR="003F3A75" w:rsidRDefault="003F3A75" w:rsidP="003F3A7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From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the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beginning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of the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therapeutic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process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, we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attune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deeply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to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attachment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themes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in the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individual’s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story of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distress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: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Abandonment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, loss,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rejection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,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lack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of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safety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and support and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so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on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. We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identify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the disparate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parts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or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“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internal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partners”</w:t>
      </w:r>
    </w:p>
    <w:p w:rsidR="003F3A75" w:rsidRDefault="003F3A75" w:rsidP="003F3A7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functioning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in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opposition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to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one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another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in these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themes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. We track the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patterns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of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interaction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that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block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opposing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parts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from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being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accessible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and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responsive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to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one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another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.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Following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primary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emotions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of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each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part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caught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in a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negative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cycle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, we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validate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how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this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inner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battle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is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likely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to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be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the best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attempt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at survival.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By</w:t>
      </w:r>
      <w:proofErr w:type="spellEnd"/>
    </w:p>
    <w:p w:rsidR="003F3A75" w:rsidRDefault="003F3A75" w:rsidP="003F3A7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choreographing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enactments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between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opposing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parts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, we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facilitate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integration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or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bonding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moments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between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internal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parts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,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restructuring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models of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self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and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other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.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This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creates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a safer haven and more secure base in the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client’s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internal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and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interpersonal</w:t>
      </w:r>
      <w:proofErr w:type="spellEnd"/>
    </w:p>
    <w:p w:rsidR="003F3A75" w:rsidRDefault="003F3A75" w:rsidP="003F3A7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world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>.</w:t>
      </w:r>
    </w:p>
    <w:p w:rsidR="003F3A75" w:rsidRDefault="003F3A75" w:rsidP="003F3A75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2B3990"/>
          <w:sz w:val="24"/>
          <w:szCs w:val="24"/>
        </w:rPr>
      </w:pPr>
    </w:p>
    <w:p w:rsidR="003F3A75" w:rsidRDefault="003F3A75" w:rsidP="003F3A75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2B3990"/>
          <w:sz w:val="24"/>
          <w:szCs w:val="24"/>
        </w:rPr>
      </w:pPr>
      <w:proofErr w:type="spellStart"/>
      <w:r>
        <w:rPr>
          <w:rFonts w:ascii="MyriadPro-Bold" w:hAnsi="MyriadPro-Bold" w:cs="MyriadPro-Bold"/>
          <w:b/>
          <w:bCs/>
          <w:color w:val="2B3990"/>
          <w:sz w:val="24"/>
          <w:szCs w:val="24"/>
        </w:rPr>
        <w:t>Identify</w:t>
      </w:r>
      <w:proofErr w:type="spellEnd"/>
      <w:r>
        <w:rPr>
          <w:rFonts w:ascii="MyriadPro-Bold" w:hAnsi="MyriadPro-Bold" w:cs="MyriadPro-Bold"/>
          <w:b/>
          <w:bCs/>
          <w:color w:val="2B3990"/>
          <w:sz w:val="24"/>
          <w:szCs w:val="24"/>
        </w:rPr>
        <w:t xml:space="preserve"> </w:t>
      </w:r>
      <w:proofErr w:type="spellStart"/>
      <w:r>
        <w:rPr>
          <w:rFonts w:ascii="MyriadPro-Bold" w:hAnsi="MyriadPro-Bold" w:cs="MyriadPro-Bold"/>
          <w:b/>
          <w:bCs/>
          <w:color w:val="2B3990"/>
          <w:sz w:val="24"/>
          <w:szCs w:val="24"/>
        </w:rPr>
        <w:t>opposing</w:t>
      </w:r>
      <w:proofErr w:type="spellEnd"/>
      <w:r>
        <w:rPr>
          <w:rFonts w:ascii="MyriadPro-Bold" w:hAnsi="MyriadPro-Bold" w:cs="MyriadPro-Bold"/>
          <w:b/>
          <w:bCs/>
          <w:color w:val="2B3990"/>
          <w:sz w:val="24"/>
          <w:szCs w:val="24"/>
        </w:rPr>
        <w:t xml:space="preserve"> </w:t>
      </w:r>
      <w:proofErr w:type="spellStart"/>
      <w:r>
        <w:rPr>
          <w:rFonts w:ascii="MyriadPro-Bold" w:hAnsi="MyriadPro-Bold" w:cs="MyriadPro-Bold"/>
          <w:b/>
          <w:bCs/>
          <w:color w:val="2B3990"/>
          <w:sz w:val="24"/>
          <w:szCs w:val="24"/>
        </w:rPr>
        <w:t>parts</w:t>
      </w:r>
      <w:proofErr w:type="spellEnd"/>
      <w:r>
        <w:rPr>
          <w:rFonts w:ascii="MyriadPro-Bold" w:hAnsi="MyriadPro-Bold" w:cs="MyriadPro-Bold"/>
          <w:b/>
          <w:bCs/>
          <w:color w:val="2B3990"/>
          <w:sz w:val="24"/>
          <w:szCs w:val="24"/>
        </w:rPr>
        <w:t xml:space="preserve"> </w:t>
      </w:r>
      <w:proofErr w:type="spellStart"/>
      <w:r>
        <w:rPr>
          <w:rFonts w:ascii="MyriadPro-Bold" w:hAnsi="MyriadPro-Bold" w:cs="MyriadPro-Bold"/>
          <w:b/>
          <w:bCs/>
          <w:color w:val="2B3990"/>
          <w:sz w:val="24"/>
          <w:szCs w:val="24"/>
        </w:rPr>
        <w:t>caught</w:t>
      </w:r>
      <w:proofErr w:type="spellEnd"/>
      <w:r>
        <w:rPr>
          <w:rFonts w:ascii="MyriadPro-Bold" w:hAnsi="MyriadPro-Bold" w:cs="MyriadPro-Bold"/>
          <w:b/>
          <w:bCs/>
          <w:color w:val="2B3990"/>
          <w:sz w:val="24"/>
          <w:szCs w:val="24"/>
        </w:rPr>
        <w:t xml:space="preserve"> in a </w:t>
      </w:r>
      <w:proofErr w:type="spellStart"/>
      <w:r>
        <w:rPr>
          <w:rFonts w:ascii="MyriadPro-Bold" w:hAnsi="MyriadPro-Bold" w:cs="MyriadPro-Bold"/>
          <w:b/>
          <w:bCs/>
          <w:color w:val="2B3990"/>
          <w:sz w:val="24"/>
          <w:szCs w:val="24"/>
        </w:rPr>
        <w:t>negative</w:t>
      </w:r>
      <w:proofErr w:type="spellEnd"/>
      <w:r>
        <w:rPr>
          <w:rFonts w:ascii="MyriadPro-Bold" w:hAnsi="MyriadPro-Bold" w:cs="MyriadPro-Bold"/>
          <w:b/>
          <w:bCs/>
          <w:color w:val="2B3990"/>
          <w:sz w:val="24"/>
          <w:szCs w:val="24"/>
        </w:rPr>
        <w:t xml:space="preserve"> </w:t>
      </w:r>
      <w:proofErr w:type="spellStart"/>
      <w:r>
        <w:rPr>
          <w:rFonts w:ascii="MyriadPro-Bold" w:hAnsi="MyriadPro-Bold" w:cs="MyriadPro-Bold"/>
          <w:b/>
          <w:bCs/>
          <w:color w:val="2B3990"/>
          <w:sz w:val="24"/>
          <w:szCs w:val="24"/>
        </w:rPr>
        <w:t>attachment</w:t>
      </w:r>
      <w:proofErr w:type="spellEnd"/>
      <w:r>
        <w:rPr>
          <w:rFonts w:ascii="MyriadPro-Bold" w:hAnsi="MyriadPro-Bold" w:cs="MyriadPro-Bold"/>
          <w:b/>
          <w:bCs/>
          <w:color w:val="2B3990"/>
          <w:sz w:val="24"/>
          <w:szCs w:val="24"/>
        </w:rPr>
        <w:t xml:space="preserve"> </w:t>
      </w:r>
      <w:proofErr w:type="spellStart"/>
      <w:r>
        <w:rPr>
          <w:rFonts w:ascii="MyriadPro-Bold" w:hAnsi="MyriadPro-Bold" w:cs="MyriadPro-Bold"/>
          <w:b/>
          <w:bCs/>
          <w:color w:val="2B3990"/>
          <w:sz w:val="24"/>
          <w:szCs w:val="24"/>
        </w:rPr>
        <w:t>cycle</w:t>
      </w:r>
      <w:proofErr w:type="spellEnd"/>
      <w:r>
        <w:rPr>
          <w:rFonts w:ascii="MyriadPro-Bold" w:hAnsi="MyriadPro-Bold" w:cs="MyriadPro-Bold"/>
          <w:b/>
          <w:bCs/>
          <w:color w:val="2B3990"/>
          <w:sz w:val="24"/>
          <w:szCs w:val="24"/>
        </w:rPr>
        <w:t>:</w:t>
      </w:r>
    </w:p>
    <w:p w:rsidR="003F3A75" w:rsidRDefault="003F3A75" w:rsidP="003F3A7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</w:p>
    <w:p w:rsidR="003F3A75" w:rsidRDefault="003F3A75" w:rsidP="003F3A7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To track a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negative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cycle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of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interaction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between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two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opposing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internal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parts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, we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need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to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first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identify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the disparate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parts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.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Opposing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parts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of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self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may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be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experienced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in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one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of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several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ways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: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an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internal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pursuer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and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an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internal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withdrawer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,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two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different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attachment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strategies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working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in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opposition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,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or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a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sense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of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self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in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opposition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to a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representation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of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an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attachment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figure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.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Len’s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critical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domineering part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that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pushes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him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to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take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on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increasingly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more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challenging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career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opportunities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is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caught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in a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struggle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with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the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anxious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“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little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Mickey Mouse part”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that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panics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and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seeks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to escape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from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responsibility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and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visibility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. The more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one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part pushes, the more the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other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part</w:t>
      </w:r>
    </w:p>
    <w:p w:rsidR="003F3A75" w:rsidRDefault="003F3A75" w:rsidP="003F3A7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freezes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. The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cycle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escalates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into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an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attack-attack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dance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where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both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parts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of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self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are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unbearably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harsh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and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effacing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, to the point of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depression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and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despair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>.</w:t>
      </w:r>
    </w:p>
    <w:p w:rsidR="003F3A75" w:rsidRDefault="003F3A75" w:rsidP="003F3A7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</w:p>
    <w:p w:rsidR="003F3A75" w:rsidRDefault="003F3A75" w:rsidP="003F3A7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Simone,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unemployed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,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depressed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and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anxious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feels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hostile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towards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her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previous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employer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and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fed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up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with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family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and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colleagues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. Part of her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longs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for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contact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with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others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who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would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validate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and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understand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her and the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other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part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says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, “I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am</w:t>
      </w:r>
      <w:proofErr w:type="spellEnd"/>
    </w:p>
    <w:p w:rsidR="003F3A75" w:rsidRDefault="003F3A75" w:rsidP="003F3A7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better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off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alone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.”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She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experiences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an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internal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battle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between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an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anxious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bodily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felt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tension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in her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chest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,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described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as “a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little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cartoon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guy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,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swinging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his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arms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blindly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trying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to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make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contact” and the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bodily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sense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of a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rejecting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cold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hand holding her back.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An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anxious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attachment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strategy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battles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against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an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avoidant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strategy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.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By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separating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the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two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internal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parts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,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she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is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able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to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own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each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part’s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position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>: “I do</w:t>
      </w:r>
    </w:p>
    <w:p w:rsidR="003F3A75" w:rsidRDefault="003F3A75" w:rsidP="003F3A7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panic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and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flail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frantically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.” “I do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freeze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and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judge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you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for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doing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this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. I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either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ignore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you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or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try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to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stifle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you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.”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Isolating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and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unpacking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the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opposing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parts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within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individuals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is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not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unlike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getting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a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clear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sense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of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each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side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of the “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infinity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loop” in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couple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therapy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>.</w:t>
      </w:r>
    </w:p>
    <w:p w:rsidR="00CB79AE" w:rsidRPr="003F3A75" w:rsidRDefault="003F3A75" w:rsidP="003F3A7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lastRenderedPageBreak/>
        <w:t>Each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part has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its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own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idiosyncratic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attachment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strategies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,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such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as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freezing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the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other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out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or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criticizing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relentlessly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.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Each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part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also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has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its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own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attributions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and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secondary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reactive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emotions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that</w:t>
      </w:r>
      <w:proofErr w:type="spellEnd"/>
    </w:p>
    <w:sectPr w:rsidR="00CB79AE" w:rsidRPr="003F3A75" w:rsidSect="00CB7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Pro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F3A75"/>
    <w:rsid w:val="003B20D1"/>
    <w:rsid w:val="003F3A75"/>
    <w:rsid w:val="00615E40"/>
    <w:rsid w:val="009E3286"/>
    <w:rsid w:val="00CB79AE"/>
    <w:rsid w:val="00F56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B79A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548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Aarnoudse</dc:creator>
  <cp:lastModifiedBy>Aarnoudse</cp:lastModifiedBy>
  <cp:revision>4</cp:revision>
  <dcterms:created xsi:type="dcterms:W3CDTF">2011-01-29T10:29:00Z</dcterms:created>
  <dcterms:modified xsi:type="dcterms:W3CDTF">2011-01-29T10:33:00Z</dcterms:modified>
</cp:coreProperties>
</file>