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4"/>
          <w:szCs w:val="24"/>
        </w:rPr>
      </w:pPr>
      <w:r>
        <w:rPr>
          <w:rFonts w:ascii="MyriadPro-It" w:hAnsi="MyriadPro-It" w:cs="MyriadPro-It"/>
          <w:i/>
          <w:iCs/>
          <w:color w:val="000000"/>
          <w:sz w:val="24"/>
          <w:szCs w:val="24"/>
        </w:rPr>
        <w:t xml:space="preserve">Lorrie </w:t>
      </w:r>
      <w:proofErr w:type="spellStart"/>
      <w:r>
        <w:rPr>
          <w:rFonts w:ascii="MyriadPro-It" w:hAnsi="MyriadPro-It" w:cs="MyriadPro-It"/>
          <w:i/>
          <w:iCs/>
          <w:color w:val="000000"/>
          <w:sz w:val="24"/>
          <w:szCs w:val="24"/>
        </w:rPr>
        <w:t>Brubacher</w:t>
      </w:r>
      <w:proofErr w:type="spellEnd"/>
    </w:p>
    <w:p w:rsidR="00F56337" w:rsidRDefault="00F56337" w:rsidP="003F3A75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4"/>
          <w:szCs w:val="24"/>
        </w:rPr>
      </w:pPr>
    </w:p>
    <w:p w:rsidR="00F56337" w:rsidRPr="00F56337" w:rsidRDefault="00F56337" w:rsidP="00F5633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</w:pP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B3990"/>
          <w:sz w:val="23"/>
          <w:szCs w:val="23"/>
        </w:rPr>
        <w:t>Editors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2B3990"/>
          <w:sz w:val="23"/>
          <w:szCs w:val="23"/>
        </w:rPr>
        <w:t xml:space="preserve">'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color w:val="2B3990"/>
          <w:sz w:val="23"/>
          <w:szCs w:val="23"/>
        </w:rPr>
        <w:t>Note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color w:val="2B3990"/>
          <w:sz w:val="23"/>
          <w:szCs w:val="23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The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following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article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is the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first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in a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two-part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series. A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future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article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will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explore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more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about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working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with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individuals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'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relationships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outside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 xml:space="preserve"> of </w:t>
      </w:r>
      <w:proofErr w:type="spellStart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themselves</w:t>
      </w:r>
      <w:proofErr w:type="spellEnd"/>
      <w:r>
        <w:rPr>
          <w:rFonts w:ascii="TimesNewRomanPS-ItalicMT" w:hAnsi="TimesNewRomanPS-ItalicMT" w:cs="TimesNewRomanPS-ItalicMT"/>
          <w:i/>
          <w:iCs/>
          <w:color w:val="2B3990"/>
          <w:sz w:val="23"/>
          <w:szCs w:val="23"/>
        </w:rPr>
        <w:t>.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In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this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article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I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would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like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show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you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how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Attachment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Theory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guide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our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experiential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work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individual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clients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The EFT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therapeutic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stance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all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interventions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still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used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creating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alliance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accessing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reprocessing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emotions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restructuring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interactions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Additionally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two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key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elements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needed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transpose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validated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Emotionally Focused Couples Therapy model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Individual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EFT model. These are: (a)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identifying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disparate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within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individual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(b)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directing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enactments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between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these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>.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From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beginning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therapeutic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process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we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attune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deeply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attachment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themes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individual’s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story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distress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: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Abandonment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loss,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rejection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lack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safety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support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We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identify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disparate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“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partners”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functioning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one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another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these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themes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We track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patterns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interaction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that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block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from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accessible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responsive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one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another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Following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primary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emotions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each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caught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negative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cycle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we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validate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how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this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inner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battle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likely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best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attempt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at survival.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By</w:t>
      </w:r>
      <w:proofErr w:type="spellEnd"/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choreographing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enactments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between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we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facilitate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integration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bonding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moments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between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restructuring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models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self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This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creates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 safer haven and more secure base in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client’s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interpersonal</w:t>
      </w:r>
      <w:proofErr w:type="spellEnd"/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world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>.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2B3990"/>
          <w:sz w:val="24"/>
          <w:szCs w:val="24"/>
        </w:rPr>
      </w:pP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2B3990"/>
          <w:sz w:val="24"/>
          <w:szCs w:val="24"/>
        </w:rPr>
      </w:pP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Identify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opposing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parts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caught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 xml:space="preserve"> in a </w:t>
      </w: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negative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attachment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cycle</w:t>
      </w:r>
      <w:proofErr w:type="spellEnd"/>
      <w:r>
        <w:rPr>
          <w:rFonts w:ascii="MyriadPro-Bold" w:hAnsi="MyriadPro-Bold" w:cs="MyriadPro-Bold"/>
          <w:b/>
          <w:bCs/>
          <w:color w:val="2B3990"/>
          <w:sz w:val="24"/>
          <w:szCs w:val="24"/>
        </w:rPr>
        <w:t>: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To track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negative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cycle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interaction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between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two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we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need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first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identify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disparate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self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may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experienced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one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several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ways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: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pursuer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withdrawer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two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different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attachment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strategies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working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sense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self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representation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attachment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figure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Len’s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critical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domineering part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that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pushes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him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take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increasingly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more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challenging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career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opportunities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caught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struggle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anxious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“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little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Mickey Mouse part”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that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panics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seeks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escape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from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responsibility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visibility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The more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one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 pushes, the more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freezes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cycle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escalates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attack-attack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dance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where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both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self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are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unbearably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harsh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effacing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to the point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depression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despair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>.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Simone,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unemployed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depressed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anxious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feels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hostile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towards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her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previous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employer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up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family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colleagues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Part of her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longs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contact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others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who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would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validate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understand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her and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says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“I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am</w:t>
      </w:r>
      <w:proofErr w:type="spellEnd"/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better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off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alone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.”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She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experiences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battle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between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anxious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bodily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felt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tension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in her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chest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described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as “a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little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cartoon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guy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swinging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his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arms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blindly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trying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make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contact” and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bodily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sense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rejecting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cold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hand holding her back.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anxious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attachment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strategy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battles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against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avoidant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strategy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By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separating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two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internal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she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able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own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each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part’s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position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>: “I do</w:t>
      </w:r>
    </w:p>
    <w:p w:rsid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panic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flail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frantically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.” “I do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freeze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judge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you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doing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this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I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either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ignore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you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try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to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stifle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you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.”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Isolating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unpacking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opposing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parts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within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individuals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is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not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unlike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getting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clear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sense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each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side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of the “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infinity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loop” in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couple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therapy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>.</w:t>
      </w:r>
    </w:p>
    <w:p w:rsidR="00CB79AE" w:rsidRPr="003F3A75" w:rsidRDefault="003F3A75" w:rsidP="003F3A7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4"/>
          <w:szCs w:val="24"/>
        </w:rPr>
      </w:pP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lastRenderedPageBreak/>
        <w:t>Each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 has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own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idiosyncratic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attachment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strategies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,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such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freezing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the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other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out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or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criticizing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relentlessly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Each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part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also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has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its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own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attributions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and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secondary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reactive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emotions</w:t>
      </w:r>
      <w:proofErr w:type="spellEnd"/>
      <w:r>
        <w:rPr>
          <w:rFonts w:ascii="MyriadPro-Regular" w:hAnsi="MyriadPro-Regular" w:cs="MyriadPro-Regular"/>
          <w:color w:val="000000"/>
          <w:sz w:val="24"/>
          <w:szCs w:val="24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4"/>
          <w:szCs w:val="24"/>
        </w:rPr>
        <w:t>that</w:t>
      </w:r>
      <w:proofErr w:type="spellEnd"/>
    </w:p>
    <w:sectPr w:rsidR="00CB79AE" w:rsidRPr="003F3A75" w:rsidSect="00CB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3A75"/>
    <w:rsid w:val="003B20D1"/>
    <w:rsid w:val="003F3A75"/>
    <w:rsid w:val="00615E40"/>
    <w:rsid w:val="009E3286"/>
    <w:rsid w:val="00CB79AE"/>
    <w:rsid w:val="00F5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79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Aarnoudse</dc:creator>
  <cp:lastModifiedBy>Aarnoudse</cp:lastModifiedBy>
  <cp:revision>4</cp:revision>
  <dcterms:created xsi:type="dcterms:W3CDTF">2011-01-29T10:29:00Z</dcterms:created>
  <dcterms:modified xsi:type="dcterms:W3CDTF">2011-01-29T10:33:00Z</dcterms:modified>
</cp:coreProperties>
</file>